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CF0B5" w14:textId="32085ECD" w:rsidR="00B838C5" w:rsidRDefault="00796115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0332CFE" wp14:editId="203457A2">
            <wp:simplePos x="0" y="0"/>
            <wp:positionH relativeFrom="column">
              <wp:posOffset>5879990</wp:posOffset>
            </wp:positionH>
            <wp:positionV relativeFrom="paragraph">
              <wp:posOffset>-114134</wp:posOffset>
            </wp:positionV>
            <wp:extent cx="3064510" cy="607279"/>
            <wp:effectExtent l="0" t="0" r="2540" b="2540"/>
            <wp:wrapNone/>
            <wp:docPr id="120685838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58382" name="Picture 2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60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2A7"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5680" behindDoc="0" locked="0" layoutInCell="1" allowOverlap="1" wp14:anchorId="2C74446D" wp14:editId="1FF1A4F8">
            <wp:simplePos x="0" y="0"/>
            <wp:positionH relativeFrom="column">
              <wp:posOffset>1892300</wp:posOffset>
            </wp:positionH>
            <wp:positionV relativeFrom="paragraph">
              <wp:posOffset>495300</wp:posOffset>
            </wp:positionV>
            <wp:extent cx="7199949" cy="4000500"/>
            <wp:effectExtent l="0" t="0" r="0" b="0"/>
            <wp:wrapNone/>
            <wp:docPr id="310473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73282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0448" r="8853" b="22538"/>
                    <a:stretch/>
                  </pic:blipFill>
                  <pic:spPr bwMode="auto">
                    <a:xfrm>
                      <a:off x="0" y="0"/>
                      <a:ext cx="7199949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 xml:space="preserve">Ejemplo de plantilla básica </w:t>
      </w:r>
      <w:r w:rsidR="00911791">
        <w:rPr>
          <w:rFonts w:ascii="Century Gothic" w:hAnsi="Century Gothic"/>
          <w:b/>
          <w:color w:val="595959" w:themeColor="text1" w:themeTint="A6"/>
          <w:sz w:val="44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del plan estratégico</w:t>
      </w:r>
    </w:p>
    <w:p w14:paraId="069A9DF4" w14:textId="776DBEBE" w:rsidR="00890011" w:rsidRDefault="00890011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9848394" w14:textId="483B794E" w:rsidR="00856B1D" w:rsidRDefault="0085394C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4D4E43" wp14:editId="304C69D5">
                <wp:simplePos x="0" y="0"/>
                <wp:positionH relativeFrom="column">
                  <wp:posOffset>19685</wp:posOffset>
                </wp:positionH>
                <wp:positionV relativeFrom="paragraph">
                  <wp:posOffset>74930</wp:posOffset>
                </wp:positionV>
                <wp:extent cx="5676900" cy="3086100"/>
                <wp:effectExtent l="0" t="0" r="0" b="0"/>
                <wp:wrapNone/>
                <wp:docPr id="13560658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E77A" w14:textId="4311A2EB" w:rsidR="00960644" w:rsidRPr="0085394C" w:rsidRDefault="00FB5F8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85394C">
                              <w:rPr>
                                <w:rFonts w:ascii="Century Gothic" w:hAnsi="Century Gothic"/>
                                <w:color w:val="5B9BD5" w:themeColor="accent5"/>
                                <w:sz w:val="40"/>
                                <w:szCs w:val="21"/>
                              </w:rPr>
                              <w:t xml:space="preserve">Este plan estratégico para Positive Charge proporciona una hoja de ruta para lograr la visión de la empresa de liderar el sector de carga de vehículos eléctricos a través de la innovación, la expansión estratégica </w:t>
                            </w:r>
                            <w:r w:rsidR="0085394C" w:rsidRPr="0085394C">
                              <w:rPr>
                                <w:rFonts w:ascii="Century Gothic" w:hAnsi="Century Gothic"/>
                                <w:color w:val="5B9BD5" w:themeColor="accent5"/>
                                <w:sz w:val="40"/>
                                <w:szCs w:val="21"/>
                              </w:rPr>
                              <w:br/>
                            </w:r>
                            <w:r w:rsidRPr="0085394C">
                              <w:rPr>
                                <w:rFonts w:ascii="Century Gothic" w:hAnsi="Century Gothic"/>
                                <w:color w:val="5B9BD5" w:themeColor="accent5"/>
                                <w:sz w:val="40"/>
                                <w:szCs w:val="21"/>
                              </w:rPr>
                              <w:t xml:space="preserve">y un enfoque en las necesidades </w:t>
                            </w:r>
                            <w:r w:rsidR="0085394C" w:rsidRPr="0085394C">
                              <w:rPr>
                                <w:rFonts w:ascii="Century Gothic" w:hAnsi="Century Gothic"/>
                                <w:color w:val="5B9BD5" w:themeColor="accent5"/>
                                <w:sz w:val="40"/>
                                <w:szCs w:val="21"/>
                              </w:rPr>
                              <w:br/>
                            </w:r>
                            <w:r w:rsidRPr="0085394C">
                              <w:rPr>
                                <w:rFonts w:ascii="Century Gothic" w:hAnsi="Century Gothic"/>
                                <w:color w:val="5B9BD5" w:themeColor="accent5"/>
                                <w:sz w:val="40"/>
                                <w:szCs w:val="21"/>
                              </w:rPr>
                              <w:t>del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4E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5.9pt;width:447pt;height:24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6EGA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" filled="f" stroked="f" strokeweight=".5pt">
                <v:textbox>
                  <w:txbxContent>
                    <w:p w14:paraId="6498E77A" w14:textId="4311A2EB" w:rsidR="00960644" w:rsidRPr="0085394C" w:rsidRDefault="00FB5F87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  <w:sz w:val="40"/>
                          <w:szCs w:val="40"/>
                        </w:rPr>
                      </w:pPr>
                      <w:r w:rsidRPr="0085394C">
                        <w:rPr>
                          <w:rFonts w:ascii="Century Gothic" w:hAnsi="Century Gothic"/>
                          <w:color w:val="5B9BD5" w:themeColor="accent5"/>
                          <w:sz w:val="40"/>
                          <w:szCs w:val="21"/>
                        </w:rPr>
                        <w:t xml:space="preserve">Este plan estratégico para Positive Charge proporciona una hoja de ruta para lograr la visión de la empresa de liderar el sector de carga de vehículos eléctricos a través de la innovación, la expansión estratégica </w:t>
                      </w:r>
                      <w:r w:rsidR="0085394C" w:rsidRPr="0085394C">
                        <w:rPr>
                          <w:rFonts w:ascii="Century Gothic" w:hAnsi="Century Gothic"/>
                          <w:color w:val="5B9BD5" w:themeColor="accent5"/>
                          <w:sz w:val="40"/>
                          <w:szCs w:val="21"/>
                        </w:rPr>
                        <w:br/>
                      </w:r>
                      <w:r w:rsidRPr="0085394C">
                        <w:rPr>
                          <w:rFonts w:ascii="Century Gothic" w:hAnsi="Century Gothic"/>
                          <w:color w:val="5B9BD5" w:themeColor="accent5"/>
                          <w:sz w:val="40"/>
                          <w:szCs w:val="21"/>
                        </w:rPr>
                        <w:t xml:space="preserve">y un enfoque en las necesidades </w:t>
                      </w:r>
                      <w:r w:rsidR="0085394C" w:rsidRPr="0085394C">
                        <w:rPr>
                          <w:rFonts w:ascii="Century Gothic" w:hAnsi="Century Gothic"/>
                          <w:color w:val="5B9BD5" w:themeColor="accent5"/>
                          <w:sz w:val="40"/>
                          <w:szCs w:val="21"/>
                        </w:rPr>
                        <w:br/>
                      </w:r>
                      <w:r w:rsidRPr="0085394C">
                        <w:rPr>
                          <w:rFonts w:ascii="Century Gothic" w:hAnsi="Century Gothic"/>
                          <w:color w:val="5B9BD5" w:themeColor="accent5"/>
                          <w:sz w:val="40"/>
                          <w:szCs w:val="21"/>
                        </w:rPr>
                        <w:t>del cliente.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51A9F482" w14:textId="7DE97801" w:rsidR="00856B1D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185A0CDC" w14:textId="444AB325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2735C66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C5A5FB8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3215353" w14:textId="77777777" w:rsidR="009C2AF2" w:rsidRDefault="009C2AF2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9DAC67D" w14:textId="77777777" w:rsidR="00856B1D" w:rsidRPr="00F840C3" w:rsidRDefault="00856B1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B838C5" w14:paraId="4D406BAE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64E375E" w14:textId="004EA2A7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 DE LA EMPRESA</w:t>
            </w:r>
          </w:p>
        </w:tc>
        <w:tc>
          <w:tcPr>
            <w:tcW w:w="7195" w:type="dxa"/>
            <w:vAlign w:val="center"/>
          </w:tcPr>
          <w:p w14:paraId="21AEE2D3" w14:textId="66BCC7DE" w:rsidR="00B838C5" w:rsidRPr="00856B1D" w:rsidRDefault="00F462A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Positive Charge</w:t>
            </w:r>
          </w:p>
        </w:tc>
      </w:tr>
      <w:tr w:rsidR="00B838C5" w14:paraId="44523F07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3B6FC070" w14:textId="2C62029B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PLAN ESTRATÉGICO CREADO POR</w:t>
            </w:r>
          </w:p>
        </w:tc>
        <w:tc>
          <w:tcPr>
            <w:tcW w:w="7195" w:type="dxa"/>
            <w:vAlign w:val="center"/>
          </w:tcPr>
          <w:p w14:paraId="49365471" w14:textId="0576B6E0" w:rsidR="00B838C5" w:rsidRPr="00856B1D" w:rsidRDefault="00F462A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Lori Garcia</w:t>
            </w:r>
          </w:p>
        </w:tc>
      </w:tr>
      <w:tr w:rsidR="00B838C5" w14:paraId="25A0E68B" w14:textId="77777777" w:rsidTr="000F173D">
        <w:trPr>
          <w:trHeight w:val="1008"/>
        </w:trPr>
        <w:tc>
          <w:tcPr>
            <w:tcW w:w="7195" w:type="dxa"/>
            <w:shd w:val="clear" w:color="auto" w:fill="F2F2F2" w:themeFill="background1" w:themeFillShade="F2"/>
            <w:vAlign w:val="center"/>
          </w:tcPr>
          <w:p w14:paraId="2248D06D" w14:textId="11F39E12" w:rsidR="00B838C5" w:rsidRPr="00856B1D" w:rsidRDefault="009C2AF2" w:rsidP="007A407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FECHA</w:t>
            </w:r>
          </w:p>
        </w:tc>
        <w:tc>
          <w:tcPr>
            <w:tcW w:w="7195" w:type="dxa"/>
            <w:vAlign w:val="center"/>
          </w:tcPr>
          <w:p w14:paraId="5E70BA1E" w14:textId="66A6DFE8" w:rsidR="00B838C5" w:rsidRPr="00856B1D" w:rsidRDefault="00F462A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DD/MM/AA</w:t>
            </w:r>
          </w:p>
        </w:tc>
      </w:tr>
    </w:tbl>
    <w:p w14:paraId="03A5D751" w14:textId="6AFEBF10" w:rsidR="00B838C5" w:rsidRDefault="00B838C5"/>
    <w:tbl>
      <w:tblPr>
        <w:tblW w:w="19096" w:type="dxa"/>
        <w:tblLook w:val="04A0" w:firstRow="1" w:lastRow="0" w:firstColumn="1" w:lastColumn="0" w:noHBand="0" w:noVBand="1"/>
      </w:tblPr>
      <w:tblGrid>
        <w:gridCol w:w="3865"/>
        <w:gridCol w:w="1855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1456"/>
        <w:gridCol w:w="272"/>
      </w:tblGrid>
      <w:tr w:rsidR="007D257E" w:rsidRPr="007D257E" w14:paraId="4715C1F7" w14:textId="77777777" w:rsidTr="00D22386">
        <w:trPr>
          <w:gridAfter w:val="4"/>
          <w:wAfter w:w="4640" w:type="dxa"/>
          <w:trHeight w:val="1070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  <w:hideMark/>
          </w:tcPr>
          <w:p w14:paraId="1551FA34" w14:textId="36FEEF5B" w:rsidR="007D257E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lastRenderedPageBreak/>
              <w:t>RESUMEN EJECUTIVO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14:paraId="04F85D08" w14:textId="67120FE4" w:rsidR="007D257E" w:rsidRPr="00D1464D" w:rsidRDefault="00036E51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Positive Charge tiene como objetivo convertirse en líder de la industria de carga de vehículos eléctricos (EV) al proporcionar soluciones de carga innovadoras, fiables y accesibles a propietarios y empresas de estos vehículos. Nuestro plan estratégico describe los pasos para expandir nuestra red, mejorar nuestra tecnología y aumentar nuestra presencia en el mercado en los próximos cinco años.</w:t>
            </w:r>
          </w:p>
        </w:tc>
      </w:tr>
      <w:tr w:rsidR="00F840C3" w:rsidRPr="007D257E" w14:paraId="7D46D7E0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7C6F3671" w14:textId="15CFB1B9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DECLARACIÓN DE LA VISIÓN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1888443" w14:textId="46C268BA" w:rsidR="00F840C3" w:rsidRPr="007E2D98" w:rsidRDefault="00036E51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Revolucionar la experiencia de carga de vehículos eléctricos para que sea tan común y fácil de usar como una estación de gasolina tradicional, y así acelerar la transición global hacia el transporte sostenible.</w:t>
            </w:r>
          </w:p>
        </w:tc>
      </w:tr>
      <w:tr w:rsidR="00B838C5" w:rsidRPr="007D257E" w14:paraId="7981F81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BA7184E" w14:textId="6359A8B4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DECLARACIÓN DE LA MISIÓN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45C71AE" w14:textId="54CD1055" w:rsidR="00B838C5" w:rsidRPr="007E2D98" w:rsidRDefault="00036E51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La misión de Positive Charge es empoderar a los propietarios de vehículos eléctricos con soluciones de carga rápidas, eficientes y ubicuas para impulsar el crecimiento de la movilidad eléctrica a través de la innovación, servicios centrados en el cliente y asociaciones estratégicas.</w:t>
            </w:r>
          </w:p>
        </w:tc>
      </w:tr>
      <w:tr w:rsidR="00B838C5" w:rsidRPr="007D257E" w14:paraId="35C53379" w14:textId="77777777" w:rsidTr="00D22386">
        <w:trPr>
          <w:gridAfter w:val="4"/>
          <w:wAfter w:w="4640" w:type="dxa"/>
          <w:trHeight w:val="1817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20082096" w14:textId="38452DCC" w:rsidR="00B838C5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ANÁLISIS FODA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7ABDB67" w14:textId="212BF326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Fortalezas: tecnología de carga avanzada, sólidas asociaciones con fabricantes de vehículos eléctricos y ubicación estratégica de las estaciones de carga.</w:t>
            </w:r>
          </w:p>
          <w:p w14:paraId="070CBAAA" w14:textId="77777777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Debilidades: altos costos iniciales de infraestructura y competencia de las redes establecidas de combustible y carga.</w:t>
            </w:r>
          </w:p>
          <w:p w14:paraId="0E61C0BC" w14:textId="293CBA87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Oportunidades: la creciente demanda de vehículos eléctricos, los incentivos gubernamentales para la energía renovable y el potencial de expansión internacional.</w:t>
            </w:r>
          </w:p>
          <w:p w14:paraId="72D6CEB7" w14:textId="572BAFE2" w:rsidR="00B838C5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Amenazas: avances tecnológicos de la competencia y cambios en los entornos normativos.</w:t>
            </w:r>
          </w:p>
        </w:tc>
      </w:tr>
      <w:tr w:rsidR="00F840C3" w:rsidRPr="007D257E" w14:paraId="60FD341C" w14:textId="77777777" w:rsidTr="00D22386">
        <w:trPr>
          <w:gridAfter w:val="4"/>
          <w:wAfter w:w="4640" w:type="dxa"/>
          <w:trHeight w:val="108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6A31E36D" w14:textId="339EEFA6" w:rsidR="00F840C3" w:rsidRPr="00694E25" w:rsidRDefault="007A4076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METAS DE NEGOCIOS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33E1A60" w14:textId="7A984AB1" w:rsidR="00333D6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 corto plazo (1 a 2 años): Aumentar la cantidad de estaciones de carga en un 50% y garantizar dos nuevas asociaciones estratégicas.</w:t>
            </w:r>
          </w:p>
          <w:p w14:paraId="16EEC4B6" w14:textId="39B12FEC" w:rsidR="00F840C3" w:rsidRPr="00333D63" w:rsidRDefault="00333D63" w:rsidP="00333D63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 largo plazo (3 a 5 años): Lograr una cuota de mercado del 25% en el sector de carga de vehículos eléctricos y ampliar las operaciones a tres nuevos países.</w:t>
            </w:r>
          </w:p>
        </w:tc>
      </w:tr>
      <w:tr w:rsidR="00B838C5" w:rsidRPr="007D257E" w14:paraId="06645FFA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08E6D25F" w14:textId="605A2226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DE MARKETING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1A213113" w14:textId="242BA9FA" w:rsidR="00B838C5" w:rsidRPr="007E2D98" w:rsidRDefault="00D1020F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Implemente una estrategia de marketing multicanal que se centre en el marketing digital, las asociaciones con fabricantes de vehículos eléctricos y la participación en exposiciones de energía renovable que aumenten el conocimiento de la marca y la participación del cliente.</w:t>
            </w:r>
          </w:p>
        </w:tc>
      </w:tr>
      <w:tr w:rsidR="00F840C3" w:rsidRPr="007D257E" w14:paraId="454B8795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9F52135" w14:textId="2C0DF016" w:rsidR="00F840C3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PLAN OPERATIVO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C07E0E5" w14:textId="5805DE2E" w:rsidR="00F840C3" w:rsidRPr="007E2D98" w:rsidRDefault="00D1020F" w:rsidP="00B838C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Aumente el desarrollo de la infraestructura invirtiendo en tecnologías de carga de última generación y optimizando la logística para garantizar la implementación y el mantenimiento eficientes de las estaciones de carga.</w:t>
            </w:r>
          </w:p>
        </w:tc>
      </w:tr>
      <w:tr w:rsidR="00B838C5" w:rsidRPr="007D257E" w14:paraId="5EFEA7F9" w14:textId="77777777" w:rsidTr="002A5A3C">
        <w:trPr>
          <w:gridAfter w:val="4"/>
          <w:wAfter w:w="4640" w:type="dxa"/>
          <w:trHeight w:val="1008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DD6EE" w:themeFill="accent5" w:themeFillTint="66"/>
            <w:vAlign w:val="center"/>
          </w:tcPr>
          <w:p w14:paraId="6D6C37FD" w14:textId="2A67404E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PROYECCIONES FINANCIERAS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63557C38" w14:textId="77777777" w:rsidR="00D1020F" w:rsidRPr="00D1020F" w:rsidRDefault="00D1020F" w:rsidP="00D1020F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Año 1: Ingresos de USD 5 millones con una pérdida neta de USD 1 millón debido a las inversiones iniciales.</w:t>
            </w:r>
          </w:p>
          <w:p w14:paraId="618B5F63" w14:textId="77777777" w:rsidR="00D1020F" w:rsidRPr="00D1020F" w:rsidRDefault="00D1020F" w:rsidP="00D1020F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Año 2: Ingresos de USD 10 millones con un beneficio neto de USD 1 millón.</w:t>
            </w:r>
          </w:p>
          <w:p w14:paraId="6BACCB43" w14:textId="3AD73A26" w:rsidR="00B838C5" w:rsidRPr="007E2D98" w:rsidRDefault="00D1020F" w:rsidP="00D1020F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Año 3 a 5: Crecimiento interanual de los ingresos del 30%, lo que alcanza un margen de beneficio neto del 15%.</w:t>
            </w:r>
          </w:p>
        </w:tc>
      </w:tr>
      <w:tr w:rsidR="00B838C5" w:rsidRPr="007D257E" w14:paraId="63E12318" w14:textId="77777777" w:rsidTr="006756EA">
        <w:trPr>
          <w:gridAfter w:val="4"/>
          <w:wAfter w:w="4640" w:type="dxa"/>
          <w:trHeight w:val="1151"/>
        </w:trPr>
        <w:tc>
          <w:tcPr>
            <w:tcW w:w="386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60F49E3" w14:textId="28CF0F1B" w:rsidR="00B838C5" w:rsidRPr="00694E25" w:rsidRDefault="00694E25" w:rsidP="007A4076">
            <w:pPr>
              <w:spacing w:after="0" w:line="240" w:lineRule="auto"/>
              <w:rPr>
                <w:rFonts w:ascii="Century Gothic" w:eastAsia="Times New Roman" w:hAnsi="Century Gothic" w:cs="Calibri"/>
                <w:color w:val="595959" w:themeColor="text1" w:themeTint="A6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entury Gothic" w:hAnsi="Century Gothic"/>
                <w:color w:val="595959" w:themeColor="text1" w:themeTint="A6"/>
                <w:kern w:val="0"/>
                <w:sz w:val="28"/>
              </w:rPr>
              <w:t>EQUIPO</w:t>
            </w:r>
          </w:p>
        </w:tc>
        <w:tc>
          <w:tcPr>
            <w:tcW w:w="10591" w:type="dxa"/>
            <w:gridSpan w:val="7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E5538AD" w14:textId="29580552" w:rsidR="001F6345" w:rsidRPr="001F6345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Director ejecutivo: experto en energía renovable con 20 años de experiencia.</w:t>
            </w:r>
          </w:p>
          <w:p w14:paraId="366C1B64" w14:textId="78344776" w:rsidR="001F6345" w:rsidRPr="001F6345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CTO: especialista en tecnología de vehículos eléctricos y desarrollo de infraestructuras.</w:t>
            </w:r>
          </w:p>
          <w:p w14:paraId="6C639D4C" w14:textId="6EFD9522" w:rsidR="001F6345" w:rsidRPr="001F6345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CFO: experto en finanzas e inversión que se centra en las tecnologías ecológicas.</w:t>
            </w:r>
          </w:p>
          <w:p w14:paraId="4392700B" w14:textId="0528725A" w:rsidR="00B838C5" w:rsidRPr="007E2D98" w:rsidRDefault="001F6345" w:rsidP="001F63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6756EA">
              <w:rPr>
                <w:rFonts w:ascii="Century Gothic" w:hAnsi="Century Gothic"/>
                <w:spacing w:val="-3"/>
                <w:sz w:val="20"/>
              </w:rPr>
              <w:t>Director de marketing: líder calificado en marketing digital y creación de marca en la industria tecnológica</w:t>
            </w:r>
            <w:r>
              <w:rPr>
                <w:rFonts w:ascii="Century Gothic" w:hAnsi="Century Gothic"/>
                <w:sz w:val="20"/>
              </w:rPr>
              <w:t>.</w:t>
            </w:r>
          </w:p>
        </w:tc>
      </w:tr>
      <w:tr w:rsidR="007D257E" w:rsidRPr="007D257E" w14:paraId="14CA452E" w14:textId="77777777" w:rsidTr="0053241E">
        <w:trPr>
          <w:trHeight w:val="240"/>
        </w:trPr>
        <w:tc>
          <w:tcPr>
            <w:tcW w:w="386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C9C6" w14:textId="77777777" w:rsidR="007D257E" w:rsidRPr="007D257E" w:rsidRDefault="007D257E" w:rsidP="007D257E">
            <w:pPr>
              <w:spacing w:after="0" w:line="240" w:lineRule="auto"/>
              <w:ind w:firstLineChars="100" w:firstLine="200"/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5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D9ABB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color w:val="806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Century Gothic" w:hAnsi="Century Gothic"/>
                <w:color w:val="806000"/>
                <w:kern w:val="0"/>
                <w:sz w:val="36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5BDB0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B0D43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94C9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0CDDD" w14:textId="77777777" w:rsidR="007D257E" w:rsidRPr="007D257E" w:rsidRDefault="007D257E" w:rsidP="007D257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69864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0E688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8BDB5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9B79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35F2E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722AF" w14:textId="77777777" w:rsidR="007D257E" w:rsidRPr="007D257E" w:rsidRDefault="007D257E" w:rsidP="007D257E">
            <w:pPr>
              <w:spacing w:after="0" w:line="240" w:lineRule="auto"/>
              <w:rPr>
                <w:rFonts w:ascii="Century Gothic" w:eastAsia="Times New Roman" w:hAnsi="Century Gothic" w:cs="Calibri"/>
                <w:kern w:val="0"/>
                <w:sz w:val="20"/>
                <w:szCs w:val="20"/>
                <w14:ligatures w14:val="none"/>
              </w:rPr>
            </w:pPr>
            <w:r>
              <w:rPr>
                <w:rFonts w:ascii="Century Gothic" w:hAnsi="Century Gothic"/>
                <w:kern w:val="0"/>
                <w:sz w:val="20"/>
              </w:rPr>
              <w:t> </w:t>
            </w:r>
          </w:p>
        </w:tc>
      </w:tr>
    </w:tbl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E9555E" w14:paraId="48239CE4" w14:textId="77777777" w:rsidTr="00E20DA8">
        <w:trPr>
          <w:trHeight w:val="2338"/>
        </w:trPr>
        <w:tc>
          <w:tcPr>
            <w:tcW w:w="14233" w:type="dxa"/>
          </w:tcPr>
          <w:p w14:paraId="2CDC834D" w14:textId="77777777" w:rsidR="00E9555E" w:rsidRPr="00692C04" w:rsidRDefault="00E9555E" w:rsidP="00E20DA8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lastRenderedPageBreak/>
              <w:t>DESCARGO DE RESPONSABILIDAD</w:t>
            </w:r>
          </w:p>
          <w:p w14:paraId="22A5E04A" w14:textId="77777777" w:rsidR="00E9555E" w:rsidRDefault="00E9555E" w:rsidP="00E20DA8">
            <w:pPr>
              <w:rPr>
                <w:rFonts w:ascii="Century Gothic" w:hAnsi="Century Gothic" w:cs="Arial"/>
                <w:szCs w:val="20"/>
              </w:rPr>
            </w:pPr>
          </w:p>
          <w:p w14:paraId="509A3D04" w14:textId="77777777" w:rsidR="00E9555E" w:rsidRDefault="00E9555E" w:rsidP="00E20DA8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1946B9E3" w14:textId="77777777" w:rsidR="00E9555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4955F1E3" w14:textId="77777777" w:rsidR="00E9555E" w:rsidRPr="00D3383E" w:rsidRDefault="00E9555E" w:rsidP="00E9555E">
      <w:pPr>
        <w:rPr>
          <w:rFonts w:ascii="Century Gothic" w:hAnsi="Century Gothic" w:cs="Arial"/>
          <w:sz w:val="20"/>
          <w:szCs w:val="20"/>
        </w:rPr>
      </w:pPr>
    </w:p>
    <w:p w14:paraId="1C348169" w14:textId="14F2229F" w:rsidR="00E9555E" w:rsidRPr="00E9555E" w:rsidRDefault="00E9555E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sectPr w:rsidR="00E9555E" w:rsidRPr="00E9555E" w:rsidSect="00DA652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160D"/>
    <w:multiLevelType w:val="multilevel"/>
    <w:tmpl w:val="2790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B1AD5"/>
    <w:multiLevelType w:val="multilevel"/>
    <w:tmpl w:val="286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766BF"/>
    <w:multiLevelType w:val="multilevel"/>
    <w:tmpl w:val="D5B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F0CEC"/>
    <w:multiLevelType w:val="multilevel"/>
    <w:tmpl w:val="E0E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30082"/>
    <w:multiLevelType w:val="multilevel"/>
    <w:tmpl w:val="7492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203A3C"/>
    <w:multiLevelType w:val="multilevel"/>
    <w:tmpl w:val="A690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40076"/>
    <w:multiLevelType w:val="multilevel"/>
    <w:tmpl w:val="AF329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A7E26"/>
    <w:multiLevelType w:val="multilevel"/>
    <w:tmpl w:val="8ACE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2148F2"/>
    <w:multiLevelType w:val="multilevel"/>
    <w:tmpl w:val="4452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FD1838"/>
    <w:multiLevelType w:val="multilevel"/>
    <w:tmpl w:val="905A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E41E70"/>
    <w:multiLevelType w:val="multilevel"/>
    <w:tmpl w:val="E960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7200A0"/>
    <w:multiLevelType w:val="hybridMultilevel"/>
    <w:tmpl w:val="8FAE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84064"/>
    <w:multiLevelType w:val="multilevel"/>
    <w:tmpl w:val="F73E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E702BB"/>
    <w:multiLevelType w:val="multilevel"/>
    <w:tmpl w:val="DAD4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8F35C56"/>
    <w:multiLevelType w:val="multilevel"/>
    <w:tmpl w:val="0C4C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9966364">
    <w:abstractNumId w:val="4"/>
  </w:num>
  <w:num w:numId="2" w16cid:durableId="1750615785">
    <w:abstractNumId w:val="8"/>
  </w:num>
  <w:num w:numId="3" w16cid:durableId="253904161">
    <w:abstractNumId w:val="5"/>
  </w:num>
  <w:num w:numId="4" w16cid:durableId="364140788">
    <w:abstractNumId w:val="14"/>
  </w:num>
  <w:num w:numId="5" w16cid:durableId="693464801">
    <w:abstractNumId w:val="2"/>
  </w:num>
  <w:num w:numId="6" w16cid:durableId="209730835">
    <w:abstractNumId w:val="13"/>
  </w:num>
  <w:num w:numId="7" w16cid:durableId="698163981">
    <w:abstractNumId w:val="0"/>
  </w:num>
  <w:num w:numId="8" w16cid:durableId="1317339459">
    <w:abstractNumId w:val="12"/>
  </w:num>
  <w:num w:numId="9" w16cid:durableId="1085806641">
    <w:abstractNumId w:val="10"/>
  </w:num>
  <w:num w:numId="10" w16cid:durableId="988096627">
    <w:abstractNumId w:val="7"/>
  </w:num>
  <w:num w:numId="11" w16cid:durableId="1735543414">
    <w:abstractNumId w:val="9"/>
  </w:num>
  <w:num w:numId="12" w16cid:durableId="1170872422">
    <w:abstractNumId w:val="3"/>
  </w:num>
  <w:num w:numId="13" w16cid:durableId="1654481273">
    <w:abstractNumId w:val="1"/>
  </w:num>
  <w:num w:numId="14" w16cid:durableId="1466699318">
    <w:abstractNumId w:val="6"/>
  </w:num>
  <w:num w:numId="15" w16cid:durableId="17801810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5E"/>
    <w:rsid w:val="00036E51"/>
    <w:rsid w:val="0004078A"/>
    <w:rsid w:val="000411F0"/>
    <w:rsid w:val="00050CAB"/>
    <w:rsid w:val="0006376B"/>
    <w:rsid w:val="000D0FD7"/>
    <w:rsid w:val="000F173D"/>
    <w:rsid w:val="0012137D"/>
    <w:rsid w:val="00127B68"/>
    <w:rsid w:val="00192157"/>
    <w:rsid w:val="001A1328"/>
    <w:rsid w:val="001F59E2"/>
    <w:rsid w:val="001F6345"/>
    <w:rsid w:val="00214A64"/>
    <w:rsid w:val="0022352A"/>
    <w:rsid w:val="00280F66"/>
    <w:rsid w:val="002A5A3C"/>
    <w:rsid w:val="002D3824"/>
    <w:rsid w:val="00333D63"/>
    <w:rsid w:val="003A4A32"/>
    <w:rsid w:val="003A776D"/>
    <w:rsid w:val="003E1829"/>
    <w:rsid w:val="00423B67"/>
    <w:rsid w:val="00516D76"/>
    <w:rsid w:val="005233D9"/>
    <w:rsid w:val="0053241E"/>
    <w:rsid w:val="005C758F"/>
    <w:rsid w:val="005F1960"/>
    <w:rsid w:val="00670F01"/>
    <w:rsid w:val="006756EA"/>
    <w:rsid w:val="00680F0E"/>
    <w:rsid w:val="006841C6"/>
    <w:rsid w:val="00694E25"/>
    <w:rsid w:val="006D4C32"/>
    <w:rsid w:val="006E160E"/>
    <w:rsid w:val="007057FB"/>
    <w:rsid w:val="00780711"/>
    <w:rsid w:val="00796115"/>
    <w:rsid w:val="007A4076"/>
    <w:rsid w:val="007D257E"/>
    <w:rsid w:val="007F7BB8"/>
    <w:rsid w:val="0085394C"/>
    <w:rsid w:val="00856B1D"/>
    <w:rsid w:val="00874FC2"/>
    <w:rsid w:val="00890011"/>
    <w:rsid w:val="008A6AA0"/>
    <w:rsid w:val="00902D43"/>
    <w:rsid w:val="00911791"/>
    <w:rsid w:val="00960644"/>
    <w:rsid w:val="00966471"/>
    <w:rsid w:val="009A4B55"/>
    <w:rsid w:val="009C2AF2"/>
    <w:rsid w:val="009C3683"/>
    <w:rsid w:val="00A3681E"/>
    <w:rsid w:val="00AB29C2"/>
    <w:rsid w:val="00B20388"/>
    <w:rsid w:val="00B5700F"/>
    <w:rsid w:val="00B6775F"/>
    <w:rsid w:val="00B838C5"/>
    <w:rsid w:val="00BC1FE7"/>
    <w:rsid w:val="00BE49A9"/>
    <w:rsid w:val="00CC01FA"/>
    <w:rsid w:val="00CD13E5"/>
    <w:rsid w:val="00D1020F"/>
    <w:rsid w:val="00D116C2"/>
    <w:rsid w:val="00D1464D"/>
    <w:rsid w:val="00D22386"/>
    <w:rsid w:val="00D840A2"/>
    <w:rsid w:val="00DA652A"/>
    <w:rsid w:val="00DC7182"/>
    <w:rsid w:val="00E56F58"/>
    <w:rsid w:val="00E82E2E"/>
    <w:rsid w:val="00E9555E"/>
    <w:rsid w:val="00EA6DAE"/>
    <w:rsid w:val="00EA7488"/>
    <w:rsid w:val="00EE52D1"/>
    <w:rsid w:val="00F065C8"/>
    <w:rsid w:val="00F1326C"/>
    <w:rsid w:val="00F462A7"/>
    <w:rsid w:val="00F840C3"/>
    <w:rsid w:val="00FB40C3"/>
    <w:rsid w:val="00FB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C3809"/>
  <w15:chartTrackingRefBased/>
  <w15:docId w15:val="{6AADBD4E-137C-498F-8DBB-F3B3B47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55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3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.smartsheet.com/try-it?trp=2751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578</Words>
  <Characters>3253</Characters>
  <Application>Microsoft Office Word</Application>
  <DocSecurity>0</DocSecurity>
  <Lines>79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Alisa lin</cp:lastModifiedBy>
  <cp:revision>8</cp:revision>
  <dcterms:created xsi:type="dcterms:W3CDTF">2024-05-28T11:19:00Z</dcterms:created>
  <dcterms:modified xsi:type="dcterms:W3CDTF">2024-09-25T14:44:00Z</dcterms:modified>
</cp:coreProperties>
</file>